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6F8CA" w14:textId="22B5F923" w:rsidR="00EB7C1C" w:rsidRPr="0033166E" w:rsidRDefault="00F674D4" w:rsidP="007D5DFE">
      <w:pPr>
        <w:rPr>
          <w:rFonts w:cstheme="minorHAnsi"/>
          <w:b/>
          <w:sz w:val="40"/>
        </w:rPr>
      </w:pPr>
      <w:r>
        <w:rPr>
          <w:rFonts w:ascii="Leelawadee" w:hAnsi="Leelawadee" w:cs="Leelawadee"/>
          <w:b/>
          <w:noProof/>
          <w:color w:val="7B7B7B" w:themeColor="accent3" w:themeShade="BF"/>
          <w:sz w:val="40"/>
        </w:rPr>
        <mc:AlternateContent>
          <mc:Choice Requires="wps">
            <w:drawing>
              <wp:anchor distT="0" distB="0" distL="114300" distR="114300" simplePos="0" relativeHeight="251659264" behindDoc="0" locked="0" layoutInCell="1" allowOverlap="1" wp14:anchorId="12F6715E" wp14:editId="5C39F559">
                <wp:simplePos x="0" y="0"/>
                <wp:positionH relativeFrom="column">
                  <wp:posOffset>-295275</wp:posOffset>
                </wp:positionH>
                <wp:positionV relativeFrom="paragraph">
                  <wp:posOffset>-895350</wp:posOffset>
                </wp:positionV>
                <wp:extent cx="45719" cy="10706100"/>
                <wp:effectExtent l="19050" t="19050" r="31115"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0706100"/>
                        </a:xfrm>
                        <a:prstGeom prst="straightConnector1">
                          <a:avLst/>
                        </a:prstGeom>
                        <a:noFill/>
                        <a:ln w="38100">
                          <a:solidFill>
                            <a:schemeClr val="accent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2" coordsize="21600,21600" o:oned="t" filled="f" o:spt="32" path="m,l21600,21600e" w14:anchorId="638164C3">
                <v:path fillok="f" arrowok="t" o:connecttype="none"/>
                <o:lock v:ext="edit" shapetype="t"/>
              </v:shapetype>
              <v:shape id="AutoShape 2" style="position:absolute;margin-left:-23.25pt;margin-top:-70.5pt;width:3.6pt;height:8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0ad47 [3209]"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"/>
            </w:pict>
          </mc:Fallback>
        </mc:AlternateContent>
      </w:r>
      <w:r w:rsidR="0033166E" w:rsidRPr="007D5DFE">
        <w:rPr>
          <w:rFonts w:ascii="Nirmala UI" w:hAnsi="Nirmala UI" w:cs="Nirmala UI"/>
          <w:b/>
          <w:noProof/>
          <w:color w:val="7B7B7B" w:themeColor="accent3" w:themeShade="BF"/>
          <w:sz w:val="40"/>
        </w:rPr>
        <mc:AlternateContent>
          <mc:Choice Requires="wps">
            <w:drawing>
              <wp:anchor distT="0" distB="0" distL="114300" distR="114300" simplePos="0" relativeHeight="251661312" behindDoc="0" locked="0" layoutInCell="1" allowOverlap="1" wp14:anchorId="149B4787" wp14:editId="040B7C51">
                <wp:simplePos x="0" y="0"/>
                <wp:positionH relativeFrom="page">
                  <wp:align>left</wp:align>
                </wp:positionH>
                <wp:positionV relativeFrom="paragraph">
                  <wp:posOffset>770890</wp:posOffset>
                </wp:positionV>
                <wp:extent cx="7477125" cy="45719"/>
                <wp:effectExtent l="19050" t="19050" r="9525" b="311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477125" cy="45719"/>
                        </a:xfrm>
                        <a:prstGeom prst="straightConnector1">
                          <a:avLst/>
                        </a:prstGeom>
                        <a:noFill/>
                        <a:ln w="38100">
                          <a:solidFill>
                            <a:schemeClr val="accent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2" style="position:absolute;margin-left:0;margin-top:60.7pt;width:588.75pt;height:3.6pt;flip:x y;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spid="_x0000_s1026" strokecolor="#70ad47 [3209]"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" w14:anchorId="6F947C77">
                <w10:wrap anchorx="page"/>
              </v:shape>
            </w:pict>
          </mc:Fallback>
        </mc:AlternateContent>
      </w:r>
      <w:r w:rsidR="0033166E" w:rsidRPr="00D53DDB">
        <w:rPr>
          <w:rFonts w:ascii="Arial Narrow" w:hAnsi="Arial Narrow"/>
          <w:b/>
          <w:noProof/>
          <w:sz w:val="36"/>
          <w:szCs w:val="24"/>
        </w:rPr>
        <w:drawing>
          <wp:inline distT="0" distB="0" distL="0" distR="0" wp14:anchorId="756F2F5E" wp14:editId="0324EB75">
            <wp:extent cx="1295400" cy="542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542925"/>
                    </a:xfrm>
                    <a:prstGeom prst="rect">
                      <a:avLst/>
                    </a:prstGeom>
                    <a:noFill/>
                    <a:ln>
                      <a:noFill/>
                    </a:ln>
                  </pic:spPr>
                </pic:pic>
              </a:graphicData>
            </a:graphic>
          </wp:inline>
        </w:drawing>
      </w:r>
      <w:r w:rsidR="00EB7C1C" w:rsidRPr="007D5DFE">
        <w:rPr>
          <w:rFonts w:ascii="Nirmala UI" w:hAnsi="Nirmala UI" w:cs="Nirmala UI"/>
          <w:b/>
          <w:color w:val="222A35" w:themeColor="text2" w:themeShade="80"/>
          <w:sz w:val="34"/>
        </w:rPr>
        <w:t>ENVIRONMENTAL POLICY</w:t>
      </w:r>
    </w:p>
    <w:p w14:paraId="3A930C24" w14:textId="77777777" w:rsidR="00EB7C1C" w:rsidRPr="007D5DFE" w:rsidRDefault="00EB7C1C" w:rsidP="007D5DFE">
      <w:pPr>
        <w:pStyle w:val="NoSpacing"/>
        <w:ind w:right="-472"/>
        <w:jc w:val="both"/>
        <w:rPr>
          <w:rFonts w:ascii="Nirmala UI" w:hAnsi="Nirmala UI" w:cs="Nirmala UI"/>
          <w:sz w:val="20"/>
        </w:rPr>
      </w:pPr>
    </w:p>
    <w:p w14:paraId="364581BE" w14:textId="7894A8AA" w:rsidR="00EB7C1C" w:rsidRDefault="79AA461F" w:rsidP="007D5DFE">
      <w:pPr>
        <w:pStyle w:val="NoSpacing"/>
        <w:spacing w:line="276" w:lineRule="auto"/>
        <w:ind w:right="-472"/>
        <w:jc w:val="both"/>
        <w:rPr>
          <w:rFonts w:ascii="Nirmala UI" w:hAnsi="Nirmala UI" w:cs="Nirmala UI"/>
          <w:sz w:val="20"/>
          <w:szCs w:val="20"/>
        </w:rPr>
      </w:pPr>
      <w:r w:rsidRPr="79AA461F">
        <w:rPr>
          <w:rFonts w:ascii="Nirmala UI" w:hAnsi="Nirmala UI" w:cs="Nirmala UI"/>
          <w:sz w:val="20"/>
          <w:szCs w:val="20"/>
        </w:rPr>
        <w:t xml:space="preserve">PJD Safety Supplies are committed to continually measure and improve environmental performance.  To achieve this objective, the company shall document environmental considerations, as part of the company’s Integrated Management System (IMS).  </w:t>
      </w:r>
      <w:proofErr w:type="gramStart"/>
      <w:r w:rsidRPr="79AA461F">
        <w:rPr>
          <w:rFonts w:ascii="Nirmala UI" w:hAnsi="Nirmala UI" w:cs="Nirmala UI"/>
          <w:sz w:val="20"/>
          <w:szCs w:val="20"/>
        </w:rPr>
        <w:t>In order to</w:t>
      </w:r>
      <w:proofErr w:type="gramEnd"/>
      <w:r w:rsidRPr="79AA461F">
        <w:rPr>
          <w:rFonts w:ascii="Nirmala UI" w:hAnsi="Nirmala UI" w:cs="Nirmala UI"/>
          <w:sz w:val="20"/>
          <w:szCs w:val="20"/>
        </w:rPr>
        <w:t xml:space="preserve"> ensure continual improvement of the company’s environmental performance, the environmental elements of the system will be commensurate with the requirements of ISO 14001:2015 taking into account the company context.</w:t>
      </w:r>
    </w:p>
    <w:p w14:paraId="667C5EF1" w14:textId="77777777" w:rsidR="007D5DFE" w:rsidRPr="007D5DFE" w:rsidRDefault="007D5DFE" w:rsidP="007D5DFE">
      <w:pPr>
        <w:pStyle w:val="NoSpacing"/>
        <w:spacing w:line="276" w:lineRule="auto"/>
        <w:ind w:right="-472"/>
        <w:jc w:val="both"/>
        <w:rPr>
          <w:rFonts w:ascii="Nirmala UI" w:hAnsi="Nirmala UI" w:cs="Nirmala UI"/>
          <w:sz w:val="20"/>
          <w:szCs w:val="20"/>
        </w:rPr>
      </w:pPr>
    </w:p>
    <w:p w14:paraId="238F2680" w14:textId="15A2B205" w:rsidR="00EB7C1C" w:rsidRPr="007D5DFE" w:rsidRDefault="79AA461F" w:rsidP="79AA461F">
      <w:pPr>
        <w:pBdr>
          <w:top w:val="nil"/>
          <w:left w:val="nil"/>
          <w:bottom w:val="nil"/>
          <w:right w:val="nil"/>
          <w:between w:val="nil"/>
        </w:pBdr>
        <w:ind w:left="720" w:hanging="720"/>
        <w:rPr>
          <w:rFonts w:ascii="Nirmala UI" w:hAnsi="Nirmala UI" w:cs="Nirmala UI"/>
          <w:sz w:val="20"/>
          <w:szCs w:val="20"/>
        </w:rPr>
      </w:pPr>
      <w:r w:rsidRPr="79AA461F">
        <w:rPr>
          <w:rFonts w:ascii="Nirmala UI" w:hAnsi="Nirmala UI" w:cs="Nirmala UI"/>
          <w:sz w:val="20"/>
          <w:szCs w:val="20"/>
        </w:rPr>
        <w:t xml:space="preserve">PJD Safety Supplies approach to environmental best practice is commitment to: </w:t>
      </w:r>
    </w:p>
    <w:p w14:paraId="45C4B31F" w14:textId="26B6E650" w:rsidR="00EB7C1C" w:rsidRPr="007D5DFE" w:rsidRDefault="007D5DFE" w:rsidP="007D5DFE">
      <w:pPr>
        <w:numPr>
          <w:ilvl w:val="0"/>
          <w:numId w:val="1"/>
        </w:numPr>
        <w:pBdr>
          <w:top w:val="nil"/>
          <w:left w:val="nil"/>
          <w:bottom w:val="nil"/>
          <w:right w:val="nil"/>
          <w:between w:val="nil"/>
        </w:pBdr>
        <w:spacing w:after="0"/>
        <w:rPr>
          <w:rFonts w:ascii="Nirmala UI" w:hAnsi="Nirmala UI" w:cs="Nirmala UI"/>
          <w:sz w:val="20"/>
          <w:szCs w:val="20"/>
        </w:rPr>
      </w:pPr>
      <w:r>
        <w:rPr>
          <w:rFonts w:ascii="Nirmala UI" w:hAnsi="Nirmala UI" w:cs="Nirmala UI"/>
          <w:sz w:val="20"/>
          <w:szCs w:val="20"/>
        </w:rPr>
        <w:t>Preventing</w:t>
      </w:r>
      <w:r w:rsidR="00EB7C1C" w:rsidRPr="007D5DFE">
        <w:rPr>
          <w:rFonts w:ascii="Nirmala UI" w:hAnsi="Nirmala UI" w:cs="Nirmala UI"/>
          <w:sz w:val="20"/>
          <w:szCs w:val="20"/>
        </w:rPr>
        <w:t xml:space="preserve"> pollution</w:t>
      </w:r>
    </w:p>
    <w:p w14:paraId="26189610" w14:textId="77777777" w:rsidR="00EB7C1C" w:rsidRPr="007D5DFE" w:rsidRDefault="00EB7C1C" w:rsidP="007D5DFE">
      <w:pPr>
        <w:numPr>
          <w:ilvl w:val="0"/>
          <w:numId w:val="1"/>
        </w:numPr>
        <w:pBdr>
          <w:top w:val="nil"/>
          <w:left w:val="nil"/>
          <w:bottom w:val="nil"/>
          <w:right w:val="nil"/>
          <w:between w:val="nil"/>
        </w:pBdr>
        <w:spacing w:after="0"/>
        <w:rPr>
          <w:rFonts w:ascii="Nirmala UI" w:hAnsi="Nirmala UI" w:cs="Nirmala UI"/>
          <w:sz w:val="20"/>
          <w:szCs w:val="20"/>
        </w:rPr>
      </w:pPr>
      <w:r w:rsidRPr="007D5DFE">
        <w:rPr>
          <w:rFonts w:ascii="Nirmala UI" w:hAnsi="Nirmala UI" w:cs="Nirmala UI"/>
          <w:sz w:val="20"/>
          <w:szCs w:val="20"/>
        </w:rPr>
        <w:t xml:space="preserve">Minimise environmental impact and </w:t>
      </w:r>
    </w:p>
    <w:p w14:paraId="1841A993" w14:textId="2EF22B30" w:rsidR="00EB7C1C" w:rsidRDefault="79AA461F" w:rsidP="79AA461F">
      <w:pPr>
        <w:numPr>
          <w:ilvl w:val="0"/>
          <w:numId w:val="1"/>
        </w:numPr>
        <w:pBdr>
          <w:top w:val="nil"/>
          <w:left w:val="nil"/>
          <w:bottom w:val="nil"/>
          <w:right w:val="nil"/>
          <w:between w:val="nil"/>
        </w:pBdr>
        <w:spacing w:after="0"/>
        <w:rPr>
          <w:rFonts w:ascii="Nirmala UI" w:hAnsi="Nirmala UI" w:cs="Nirmala UI"/>
          <w:sz w:val="20"/>
          <w:szCs w:val="20"/>
        </w:rPr>
      </w:pPr>
      <w:r w:rsidRPr="79AA461F">
        <w:rPr>
          <w:rFonts w:ascii="Nirmala UI" w:hAnsi="Nirmala UI" w:cs="Nirmala UI"/>
          <w:sz w:val="20"/>
          <w:szCs w:val="20"/>
        </w:rPr>
        <w:t>Complying with legal and other environmental requirements</w:t>
      </w:r>
    </w:p>
    <w:p w14:paraId="0F9BA4C1" w14:textId="1CB3E827" w:rsidR="79AA461F" w:rsidRDefault="79AA461F" w:rsidP="79AA461F">
      <w:pPr>
        <w:numPr>
          <w:ilvl w:val="0"/>
          <w:numId w:val="1"/>
        </w:numPr>
        <w:pBdr>
          <w:top w:val="nil"/>
          <w:left w:val="nil"/>
          <w:bottom w:val="nil"/>
          <w:right w:val="nil"/>
          <w:between w:val="nil"/>
        </w:pBdr>
        <w:spacing w:after="0"/>
        <w:rPr>
          <w:rFonts w:ascii="Calibri" w:hAnsi="Calibri"/>
          <w:sz w:val="20"/>
          <w:szCs w:val="20"/>
        </w:rPr>
      </w:pPr>
      <w:r w:rsidRPr="79AA461F">
        <w:rPr>
          <w:rFonts w:ascii="Calibri" w:hAnsi="Calibri"/>
          <w:sz w:val="20"/>
          <w:szCs w:val="20"/>
        </w:rPr>
        <w:t>Sustainable resource use</w:t>
      </w:r>
    </w:p>
    <w:p w14:paraId="3D8D4837" w14:textId="2D552052" w:rsidR="79AA461F" w:rsidRDefault="79AA461F" w:rsidP="79AA461F">
      <w:pPr>
        <w:numPr>
          <w:ilvl w:val="0"/>
          <w:numId w:val="1"/>
        </w:numPr>
        <w:pBdr>
          <w:top w:val="nil"/>
          <w:left w:val="nil"/>
          <w:bottom w:val="nil"/>
          <w:right w:val="nil"/>
          <w:between w:val="nil"/>
        </w:pBdr>
        <w:spacing w:after="0"/>
        <w:rPr>
          <w:rFonts w:ascii="Calibri" w:hAnsi="Calibri"/>
          <w:sz w:val="20"/>
          <w:szCs w:val="20"/>
        </w:rPr>
      </w:pPr>
      <w:r w:rsidRPr="79AA461F">
        <w:rPr>
          <w:rFonts w:ascii="Calibri" w:hAnsi="Calibri"/>
          <w:sz w:val="20"/>
          <w:szCs w:val="20"/>
        </w:rPr>
        <w:t>Climate Change mitigation and adaptation</w:t>
      </w:r>
    </w:p>
    <w:p w14:paraId="73D9F036" w14:textId="0BF467B0" w:rsidR="79AA461F" w:rsidRDefault="79AA461F" w:rsidP="79AA461F">
      <w:pPr>
        <w:numPr>
          <w:ilvl w:val="0"/>
          <w:numId w:val="1"/>
        </w:numPr>
        <w:pBdr>
          <w:top w:val="nil"/>
          <w:left w:val="nil"/>
          <w:bottom w:val="nil"/>
          <w:right w:val="nil"/>
          <w:between w:val="nil"/>
        </w:pBdr>
        <w:spacing w:after="0"/>
        <w:rPr>
          <w:rFonts w:ascii="Calibri" w:eastAsia="Calibri" w:hAnsi="Calibri" w:cs="Calibri"/>
          <w:sz w:val="20"/>
          <w:szCs w:val="20"/>
        </w:rPr>
      </w:pPr>
      <w:r w:rsidRPr="79AA461F">
        <w:rPr>
          <w:rFonts w:ascii="Calibri" w:eastAsia="Calibri" w:hAnsi="Calibri" w:cs="Calibri"/>
          <w:sz w:val="18"/>
          <w:szCs w:val="18"/>
          <w:lang w:val="en-AU"/>
        </w:rPr>
        <w:t>Protection of biodiversity and ecosystems</w:t>
      </w:r>
    </w:p>
    <w:p w14:paraId="2ED451E3" w14:textId="77777777" w:rsidR="007D5DFE" w:rsidRPr="007D5DFE" w:rsidRDefault="007D5DFE" w:rsidP="007D5DFE">
      <w:pPr>
        <w:pBdr>
          <w:top w:val="nil"/>
          <w:left w:val="nil"/>
          <w:bottom w:val="nil"/>
          <w:right w:val="nil"/>
          <w:between w:val="nil"/>
        </w:pBdr>
        <w:spacing w:after="0"/>
        <w:ind w:left="720"/>
        <w:rPr>
          <w:rFonts w:ascii="Nirmala UI" w:hAnsi="Nirmala UI" w:cs="Nirmala UI"/>
          <w:sz w:val="20"/>
          <w:szCs w:val="20"/>
        </w:rPr>
      </w:pPr>
    </w:p>
    <w:p w14:paraId="2A132400" w14:textId="77777777" w:rsidR="00EB7C1C" w:rsidRPr="007D5DFE" w:rsidRDefault="00EB7C1C" w:rsidP="007D5DFE">
      <w:pPr>
        <w:jc w:val="both"/>
        <w:rPr>
          <w:rFonts w:ascii="Nirmala UI" w:hAnsi="Nirmala UI" w:cs="Nirmala UI"/>
          <w:sz w:val="20"/>
          <w:szCs w:val="20"/>
        </w:rPr>
      </w:pPr>
      <w:bookmarkStart w:id="0" w:name="_gjdgxs" w:colFirst="0" w:colLast="0"/>
      <w:bookmarkEnd w:id="0"/>
      <w:r w:rsidRPr="007D5DFE">
        <w:rPr>
          <w:rFonts w:ascii="Nirmala UI" w:hAnsi="Nirmala UI" w:cs="Nirmala UI"/>
          <w:sz w:val="20"/>
          <w:szCs w:val="20"/>
        </w:rPr>
        <w:t xml:space="preserve">This approach is integral strategic element within the organisation. Senior management are totally committed to strengthening and building on the company culture of sustainability combined with concern for the wider environment. </w:t>
      </w:r>
    </w:p>
    <w:p w14:paraId="3B58E54C" w14:textId="77777777" w:rsidR="00EB7C1C" w:rsidRPr="007D5DFE" w:rsidRDefault="00EB7C1C" w:rsidP="007D5DFE">
      <w:pPr>
        <w:jc w:val="both"/>
        <w:rPr>
          <w:rFonts w:ascii="Nirmala UI" w:hAnsi="Nirmala UI" w:cs="Nirmala UI"/>
          <w:sz w:val="20"/>
          <w:szCs w:val="20"/>
        </w:rPr>
      </w:pPr>
      <w:r w:rsidRPr="007D5DFE">
        <w:rPr>
          <w:rFonts w:ascii="Nirmala UI" w:hAnsi="Nirmala UI" w:cs="Nirmala UI"/>
          <w:sz w:val="20"/>
          <w:szCs w:val="20"/>
        </w:rPr>
        <w:t>We shall use monitoring and measuring techniques to assess continual improvements and areas to work on an on-going basis.  This information will be analysed and used to continually improve environmental performance were possible.</w:t>
      </w:r>
    </w:p>
    <w:p w14:paraId="214CDE26" w14:textId="10593B3A" w:rsidR="00EB7C1C" w:rsidRDefault="00EB7C1C" w:rsidP="007D5DFE">
      <w:pPr>
        <w:pStyle w:val="NoSpacing"/>
        <w:spacing w:line="276" w:lineRule="auto"/>
        <w:ind w:right="-472"/>
        <w:jc w:val="both"/>
        <w:rPr>
          <w:rFonts w:ascii="Nirmala UI" w:hAnsi="Nirmala UI" w:cs="Nirmala UI"/>
          <w:sz w:val="20"/>
          <w:szCs w:val="20"/>
        </w:rPr>
      </w:pPr>
      <w:r w:rsidRPr="007D5DFE">
        <w:rPr>
          <w:rFonts w:ascii="Nirmala UI" w:hAnsi="Nirmala UI" w:cs="Nirmala UI"/>
          <w:sz w:val="20"/>
          <w:szCs w:val="20"/>
        </w:rPr>
        <w:t xml:space="preserve">It is our belief that adherence to ISO 14001:2015 </w:t>
      </w:r>
      <w:r w:rsidR="00C95894" w:rsidRPr="007D5DFE">
        <w:rPr>
          <w:rFonts w:ascii="Nirmala UI" w:hAnsi="Nirmala UI" w:cs="Nirmala UI"/>
          <w:sz w:val="20"/>
          <w:szCs w:val="20"/>
        </w:rPr>
        <w:t>will enable</w:t>
      </w:r>
      <w:r w:rsidRPr="007D5DFE">
        <w:rPr>
          <w:rFonts w:ascii="Nirmala UI" w:hAnsi="Nirmala UI" w:cs="Nirmala UI"/>
          <w:sz w:val="20"/>
          <w:szCs w:val="20"/>
        </w:rPr>
        <w:t xml:space="preserve"> </w:t>
      </w:r>
      <w:r w:rsidR="0033166E">
        <w:rPr>
          <w:rFonts w:ascii="Nirmala UI" w:hAnsi="Nirmala UI" w:cs="Nirmala UI"/>
          <w:sz w:val="20"/>
          <w:szCs w:val="20"/>
        </w:rPr>
        <w:t>PJD Safety Supplies</w:t>
      </w:r>
      <w:r w:rsidR="0033166E" w:rsidRPr="007D5DFE">
        <w:rPr>
          <w:rFonts w:ascii="Nirmala UI" w:hAnsi="Nirmala UI" w:cs="Nirmala UI"/>
          <w:sz w:val="20"/>
          <w:szCs w:val="20"/>
        </w:rPr>
        <w:t xml:space="preserve"> </w:t>
      </w:r>
      <w:r w:rsidRPr="007D5DFE">
        <w:rPr>
          <w:rFonts w:ascii="Nirmala UI" w:hAnsi="Nirmala UI" w:cs="Nirmala UI"/>
          <w:sz w:val="20"/>
          <w:szCs w:val="20"/>
        </w:rPr>
        <w:t>to function in a much more sustainable manner, with confidence that the product delivered reaches the high standards which the company seeks to maintain.</w:t>
      </w:r>
    </w:p>
    <w:p w14:paraId="0C30C4CE" w14:textId="77777777" w:rsidR="007D5DFE" w:rsidRPr="007D5DFE" w:rsidRDefault="007D5DFE" w:rsidP="007D5DFE">
      <w:pPr>
        <w:pStyle w:val="NoSpacing"/>
        <w:spacing w:line="276" w:lineRule="auto"/>
        <w:ind w:right="-472"/>
        <w:jc w:val="both"/>
        <w:rPr>
          <w:rFonts w:ascii="Nirmala UI" w:hAnsi="Nirmala UI" w:cs="Nirmala UI"/>
          <w:sz w:val="20"/>
          <w:szCs w:val="20"/>
        </w:rPr>
      </w:pPr>
    </w:p>
    <w:p w14:paraId="1CF321B0" w14:textId="71469D66" w:rsidR="00EB7C1C" w:rsidRPr="007D5DFE" w:rsidRDefault="00EB7C1C" w:rsidP="007D5DFE">
      <w:pPr>
        <w:jc w:val="both"/>
        <w:rPr>
          <w:rFonts w:ascii="Nirmala UI" w:hAnsi="Nirmala UI" w:cs="Nirmala UI"/>
          <w:sz w:val="20"/>
          <w:szCs w:val="20"/>
        </w:rPr>
      </w:pPr>
      <w:r w:rsidRPr="007D5DFE">
        <w:rPr>
          <w:rFonts w:ascii="Nirmala UI" w:hAnsi="Nirmala UI" w:cs="Nirmala UI"/>
          <w:sz w:val="20"/>
          <w:szCs w:val="20"/>
        </w:rPr>
        <w:t xml:space="preserve">Our policy is </w:t>
      </w:r>
      <w:proofErr w:type="gramStart"/>
      <w:r w:rsidRPr="007D5DFE">
        <w:rPr>
          <w:rFonts w:ascii="Nirmala UI" w:hAnsi="Nirmala UI" w:cs="Nirmala UI"/>
          <w:sz w:val="20"/>
          <w:szCs w:val="20"/>
        </w:rPr>
        <w:t>as a result of</w:t>
      </w:r>
      <w:proofErr w:type="gramEnd"/>
      <w:r w:rsidRPr="007D5DFE">
        <w:rPr>
          <w:rFonts w:ascii="Nirmala UI" w:hAnsi="Nirmala UI" w:cs="Nirmala UI"/>
          <w:sz w:val="20"/>
          <w:szCs w:val="20"/>
        </w:rPr>
        <w:t xml:space="preserve"> a planning process that will result in the establishment of a set of objectives intended to deliver our environmental policy to customers, employees and all other Interested Parties</w:t>
      </w:r>
      <w:r w:rsidR="0033166E">
        <w:rPr>
          <w:rFonts w:ascii="Nirmala UI" w:hAnsi="Nirmala UI" w:cs="Nirmala UI"/>
          <w:sz w:val="20"/>
          <w:szCs w:val="20"/>
        </w:rPr>
        <w:t xml:space="preserve"> such as Environmental</w:t>
      </w:r>
      <w:r w:rsidR="007B7B00" w:rsidRPr="007D5DFE">
        <w:rPr>
          <w:rFonts w:ascii="Nirmala UI" w:hAnsi="Nirmala UI" w:cs="Nirmala UI"/>
          <w:sz w:val="20"/>
          <w:szCs w:val="20"/>
        </w:rPr>
        <w:t xml:space="preserve"> regulatory bodies</w:t>
      </w:r>
      <w:r w:rsidRPr="007D5DFE">
        <w:rPr>
          <w:rFonts w:ascii="Nirmala UI" w:hAnsi="Nirmala UI" w:cs="Nirmala UI"/>
          <w:sz w:val="20"/>
          <w:szCs w:val="20"/>
        </w:rPr>
        <w:t xml:space="preserve">. As part of the Annual Management Review meeting </w:t>
      </w:r>
      <w:r w:rsidR="00D3497A" w:rsidRPr="007D5DFE">
        <w:rPr>
          <w:rFonts w:ascii="Nirmala UI" w:hAnsi="Nirmala UI" w:cs="Nirmala UI"/>
          <w:sz w:val="20"/>
          <w:szCs w:val="20"/>
        </w:rPr>
        <w:t xml:space="preserve">process </w:t>
      </w:r>
      <w:r w:rsidRPr="007D5DFE">
        <w:rPr>
          <w:rFonts w:ascii="Nirmala UI" w:hAnsi="Nirmala UI" w:cs="Nirmala UI"/>
          <w:sz w:val="20"/>
          <w:szCs w:val="20"/>
        </w:rPr>
        <w:t xml:space="preserve">these objectives will be agreed with those tasked with delivering </w:t>
      </w:r>
      <w:proofErr w:type="gramStart"/>
      <w:r w:rsidRPr="007D5DFE">
        <w:rPr>
          <w:rFonts w:ascii="Nirmala UI" w:hAnsi="Nirmala UI" w:cs="Nirmala UI"/>
          <w:sz w:val="20"/>
          <w:szCs w:val="20"/>
        </w:rPr>
        <w:t>them, and</w:t>
      </w:r>
      <w:proofErr w:type="gramEnd"/>
      <w:r w:rsidRPr="007D5DFE">
        <w:rPr>
          <w:rFonts w:ascii="Nirmala UI" w:hAnsi="Nirmala UI" w:cs="Nirmala UI"/>
          <w:sz w:val="20"/>
          <w:szCs w:val="20"/>
        </w:rPr>
        <w:t xml:space="preserve"> will have associated programmes for their delivery. These will be reviewed periodically to ascertain status. We shall provide and manage resources necessary to deliver objectives, and to promote awareness of environmental issues for</w:t>
      </w:r>
      <w:r w:rsidR="00D3497A" w:rsidRPr="007D5DFE">
        <w:rPr>
          <w:rFonts w:ascii="Nirmala UI" w:hAnsi="Nirmala UI" w:cs="Nirmala UI"/>
          <w:sz w:val="20"/>
          <w:szCs w:val="20"/>
        </w:rPr>
        <w:t xml:space="preserve"> our employees including significant environmental aspects and impacts.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3558"/>
        <w:gridCol w:w="950"/>
        <w:gridCol w:w="2594"/>
      </w:tblGrid>
      <w:tr w:rsidR="0033166E" w14:paraId="3DB00E98" w14:textId="77777777" w:rsidTr="00E55ED0">
        <w:tc>
          <w:tcPr>
            <w:tcW w:w="2254" w:type="dxa"/>
          </w:tcPr>
          <w:p w14:paraId="0E7E9B8F" w14:textId="77777777" w:rsidR="0033166E" w:rsidRDefault="0033166E" w:rsidP="00E55ED0">
            <w:pPr>
              <w:spacing w:line="360" w:lineRule="auto"/>
              <w:jc w:val="both"/>
              <w:rPr>
                <w:rFonts w:cstheme="minorHAnsi"/>
                <w:sz w:val="20"/>
                <w:szCs w:val="20"/>
              </w:rPr>
            </w:pPr>
          </w:p>
          <w:p w14:paraId="33B12B4A" w14:textId="31E08C99" w:rsidR="0033166E" w:rsidRDefault="0033166E" w:rsidP="00E55ED0">
            <w:pPr>
              <w:spacing w:line="360" w:lineRule="auto"/>
              <w:jc w:val="both"/>
              <w:rPr>
                <w:rFonts w:cstheme="minorHAnsi"/>
                <w:sz w:val="20"/>
                <w:szCs w:val="20"/>
              </w:rPr>
            </w:pPr>
            <w:r w:rsidRPr="00BE10C2">
              <w:rPr>
                <w:rFonts w:cstheme="minorHAnsi"/>
                <w:sz w:val="20"/>
                <w:szCs w:val="20"/>
              </w:rPr>
              <w:t>Signed</w:t>
            </w:r>
          </w:p>
        </w:tc>
        <w:tc>
          <w:tcPr>
            <w:tcW w:w="3558" w:type="dxa"/>
            <w:tcBorders>
              <w:bottom w:val="single" w:sz="4" w:space="0" w:color="auto"/>
            </w:tcBorders>
          </w:tcPr>
          <w:p w14:paraId="7B81A72E" w14:textId="77777777" w:rsidR="0033166E" w:rsidRDefault="0033166E" w:rsidP="00E55ED0">
            <w:pPr>
              <w:spacing w:line="360" w:lineRule="auto"/>
              <w:jc w:val="both"/>
              <w:rPr>
                <w:rFonts w:cstheme="minorHAnsi"/>
                <w:sz w:val="20"/>
                <w:szCs w:val="20"/>
              </w:rPr>
            </w:pPr>
          </w:p>
          <w:p w14:paraId="2ED67E1E" w14:textId="33F9F695" w:rsidR="00857312" w:rsidRPr="00857312" w:rsidRDefault="00857312" w:rsidP="00857312">
            <w:pPr>
              <w:ind w:firstLine="720"/>
              <w:rPr>
                <w:rFonts w:cstheme="minorHAnsi"/>
                <w:i/>
                <w:iCs/>
                <w:sz w:val="20"/>
                <w:szCs w:val="20"/>
              </w:rPr>
            </w:pPr>
            <w:r w:rsidRPr="00857312">
              <w:rPr>
                <w:rFonts w:cstheme="minorHAnsi"/>
                <w:i/>
                <w:iCs/>
                <w:sz w:val="20"/>
                <w:szCs w:val="20"/>
              </w:rPr>
              <w:t xml:space="preserve">PAUL COOTE </w:t>
            </w:r>
          </w:p>
        </w:tc>
        <w:tc>
          <w:tcPr>
            <w:tcW w:w="950" w:type="dxa"/>
          </w:tcPr>
          <w:p w14:paraId="049C2A28" w14:textId="77777777" w:rsidR="0033166E" w:rsidRDefault="0033166E" w:rsidP="00E55ED0">
            <w:pPr>
              <w:spacing w:line="360" w:lineRule="auto"/>
              <w:jc w:val="both"/>
              <w:rPr>
                <w:rFonts w:cstheme="minorHAnsi"/>
                <w:sz w:val="20"/>
                <w:szCs w:val="20"/>
              </w:rPr>
            </w:pPr>
          </w:p>
          <w:p w14:paraId="75B10A0E" w14:textId="2A22657D" w:rsidR="0033166E" w:rsidRDefault="0033166E" w:rsidP="00E55ED0">
            <w:pPr>
              <w:spacing w:line="360" w:lineRule="auto"/>
              <w:jc w:val="both"/>
              <w:rPr>
                <w:rFonts w:cstheme="minorHAnsi"/>
                <w:sz w:val="20"/>
                <w:szCs w:val="20"/>
              </w:rPr>
            </w:pPr>
            <w:r>
              <w:rPr>
                <w:rFonts w:cstheme="minorHAnsi"/>
                <w:sz w:val="20"/>
                <w:szCs w:val="20"/>
              </w:rPr>
              <w:t>Date</w:t>
            </w:r>
          </w:p>
        </w:tc>
        <w:tc>
          <w:tcPr>
            <w:tcW w:w="2594" w:type="dxa"/>
            <w:tcBorders>
              <w:bottom w:val="single" w:sz="4" w:space="0" w:color="auto"/>
            </w:tcBorders>
          </w:tcPr>
          <w:p w14:paraId="10851D6E" w14:textId="77777777" w:rsidR="0033166E" w:rsidRDefault="0033166E" w:rsidP="00E55ED0">
            <w:pPr>
              <w:spacing w:line="360" w:lineRule="auto"/>
              <w:jc w:val="both"/>
              <w:rPr>
                <w:rFonts w:cstheme="minorHAnsi"/>
                <w:sz w:val="20"/>
                <w:szCs w:val="20"/>
              </w:rPr>
            </w:pPr>
          </w:p>
          <w:p w14:paraId="23DBAE07" w14:textId="2009184A" w:rsidR="00857312" w:rsidRPr="00857312" w:rsidRDefault="00857312" w:rsidP="00857312">
            <w:pPr>
              <w:rPr>
                <w:rFonts w:cstheme="minorHAnsi"/>
                <w:sz w:val="20"/>
                <w:szCs w:val="20"/>
              </w:rPr>
            </w:pPr>
            <w:r>
              <w:rPr>
                <w:rFonts w:cstheme="minorHAnsi"/>
                <w:sz w:val="20"/>
                <w:szCs w:val="20"/>
              </w:rPr>
              <w:t>14/08/2023</w:t>
            </w:r>
          </w:p>
        </w:tc>
      </w:tr>
      <w:tr w:rsidR="0033166E" w14:paraId="29155166" w14:textId="77777777" w:rsidTr="00E55ED0">
        <w:trPr>
          <w:trHeight w:val="314"/>
        </w:trPr>
        <w:tc>
          <w:tcPr>
            <w:tcW w:w="2254" w:type="dxa"/>
          </w:tcPr>
          <w:p w14:paraId="262CC512" w14:textId="77777777" w:rsidR="0033166E" w:rsidRPr="00BE10C2" w:rsidRDefault="0033166E" w:rsidP="00E55ED0">
            <w:pPr>
              <w:spacing w:line="360" w:lineRule="auto"/>
              <w:jc w:val="both"/>
              <w:rPr>
                <w:rFonts w:cstheme="minorHAnsi"/>
                <w:sz w:val="20"/>
                <w:szCs w:val="20"/>
              </w:rPr>
            </w:pPr>
          </w:p>
        </w:tc>
        <w:tc>
          <w:tcPr>
            <w:tcW w:w="3558" w:type="dxa"/>
            <w:tcBorders>
              <w:top w:val="single" w:sz="4" w:space="0" w:color="auto"/>
            </w:tcBorders>
          </w:tcPr>
          <w:p w14:paraId="1E9113F1" w14:textId="77777777" w:rsidR="0033166E" w:rsidRDefault="0033166E" w:rsidP="00E55ED0">
            <w:pPr>
              <w:pStyle w:val="NoSpacing"/>
            </w:pPr>
          </w:p>
          <w:p w14:paraId="3EB6B435" w14:textId="77777777" w:rsidR="0033166E" w:rsidRDefault="0033166E" w:rsidP="00E55ED0">
            <w:pPr>
              <w:pStyle w:val="NoSpacing"/>
            </w:pPr>
            <w:r>
              <w:t>Paul Coote</w:t>
            </w:r>
            <w:r w:rsidRPr="00BE10C2">
              <w:t xml:space="preserve"> - </w:t>
            </w:r>
            <w:r w:rsidRPr="00BE10C2">
              <w:rPr>
                <w:i/>
                <w:iCs/>
              </w:rPr>
              <w:t>Managing Director</w:t>
            </w:r>
          </w:p>
        </w:tc>
        <w:tc>
          <w:tcPr>
            <w:tcW w:w="950" w:type="dxa"/>
          </w:tcPr>
          <w:p w14:paraId="022C1CD1" w14:textId="77777777" w:rsidR="0033166E" w:rsidRDefault="0033166E" w:rsidP="00E55ED0">
            <w:pPr>
              <w:spacing w:line="360" w:lineRule="auto"/>
              <w:jc w:val="both"/>
              <w:rPr>
                <w:rFonts w:cstheme="minorHAnsi"/>
                <w:sz w:val="20"/>
                <w:szCs w:val="20"/>
              </w:rPr>
            </w:pPr>
          </w:p>
        </w:tc>
        <w:tc>
          <w:tcPr>
            <w:tcW w:w="2594" w:type="dxa"/>
            <w:tcBorders>
              <w:top w:val="single" w:sz="4" w:space="0" w:color="auto"/>
            </w:tcBorders>
          </w:tcPr>
          <w:p w14:paraId="715A1CF2" w14:textId="77777777" w:rsidR="0033166E" w:rsidRDefault="0033166E" w:rsidP="00E55ED0">
            <w:pPr>
              <w:spacing w:line="360" w:lineRule="auto"/>
              <w:jc w:val="both"/>
              <w:rPr>
                <w:rFonts w:cstheme="minorHAnsi"/>
                <w:sz w:val="20"/>
                <w:szCs w:val="20"/>
              </w:rPr>
            </w:pPr>
          </w:p>
        </w:tc>
      </w:tr>
    </w:tbl>
    <w:p w14:paraId="4B2C89C6" w14:textId="77777777" w:rsidR="00845C0B" w:rsidRPr="007D5DFE" w:rsidRDefault="00845C0B">
      <w:pPr>
        <w:rPr>
          <w:rFonts w:ascii="Nirmala UI" w:hAnsi="Nirmala UI" w:cs="Nirmala UI"/>
          <w:b/>
          <w:sz w:val="20"/>
          <w:szCs w:val="20"/>
        </w:rPr>
      </w:pPr>
    </w:p>
    <w:sectPr w:rsidR="00845C0B" w:rsidRPr="007D5DF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0E3AF" w14:textId="77777777" w:rsidR="00BE7540" w:rsidRDefault="00BE7540" w:rsidP="00D3497A">
      <w:pPr>
        <w:spacing w:after="0" w:line="240" w:lineRule="auto"/>
      </w:pPr>
      <w:r>
        <w:separator/>
      </w:r>
    </w:p>
  </w:endnote>
  <w:endnote w:type="continuationSeparator" w:id="0">
    <w:p w14:paraId="334F89B2" w14:textId="77777777" w:rsidR="00BE7540" w:rsidRDefault="00BE7540" w:rsidP="00D34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elawadee">
    <w:altName w:val="Leelawadee UI"/>
    <w:charset w:val="00"/>
    <w:family w:val="swiss"/>
    <w:pitch w:val="variable"/>
    <w:sig w:usb0="01000003" w:usb1="00000000" w:usb2="00000000" w:usb3="00000000" w:csb0="00010001" w:csb1="00000000"/>
  </w:font>
  <w:font w:name="Nirmala UI">
    <w:panose1 w:val="020B0502040204020203"/>
    <w:charset w:val="00"/>
    <w:family w:val="swiss"/>
    <w:pitch w:val="variable"/>
    <w:sig w:usb0="80FF8023" w:usb1="0200004A" w:usb2="000002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C5C9" w14:textId="77777777" w:rsidR="004F3156" w:rsidRDefault="004F3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2F5F" w14:textId="77777777" w:rsidR="004F3156" w:rsidRDefault="004F31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3C8E" w14:textId="77777777" w:rsidR="004F3156" w:rsidRDefault="004F3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45AD4" w14:textId="77777777" w:rsidR="00BE7540" w:rsidRDefault="00BE7540" w:rsidP="00D3497A">
      <w:pPr>
        <w:spacing w:after="0" w:line="240" w:lineRule="auto"/>
      </w:pPr>
      <w:r>
        <w:separator/>
      </w:r>
    </w:p>
  </w:footnote>
  <w:footnote w:type="continuationSeparator" w:id="0">
    <w:p w14:paraId="025CFF10" w14:textId="77777777" w:rsidR="00BE7540" w:rsidRDefault="00BE7540" w:rsidP="00D34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056D" w14:textId="77777777" w:rsidR="004F3156" w:rsidRDefault="004F3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127D" w14:textId="77777777" w:rsidR="004F3156" w:rsidRDefault="004F31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07DB" w14:textId="77777777" w:rsidR="004F3156" w:rsidRDefault="004F3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4650D"/>
    <w:multiLevelType w:val="multilevel"/>
    <w:tmpl w:val="BF9AF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2710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C1C"/>
    <w:rsid w:val="00104011"/>
    <w:rsid w:val="0015688E"/>
    <w:rsid w:val="0033166E"/>
    <w:rsid w:val="004F3156"/>
    <w:rsid w:val="0065312F"/>
    <w:rsid w:val="007B7B00"/>
    <w:rsid w:val="007D5DFE"/>
    <w:rsid w:val="00845C0B"/>
    <w:rsid w:val="00857312"/>
    <w:rsid w:val="009D6813"/>
    <w:rsid w:val="00AC6657"/>
    <w:rsid w:val="00B1224A"/>
    <w:rsid w:val="00BE7540"/>
    <w:rsid w:val="00C34387"/>
    <w:rsid w:val="00C76711"/>
    <w:rsid w:val="00C95894"/>
    <w:rsid w:val="00CB74F8"/>
    <w:rsid w:val="00D249A2"/>
    <w:rsid w:val="00D3497A"/>
    <w:rsid w:val="00EB7C1C"/>
    <w:rsid w:val="00F674D4"/>
    <w:rsid w:val="79AA4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BD048E"/>
  <w15:chartTrackingRefBased/>
  <w15:docId w15:val="{AA236C3F-A9A9-49CC-834A-BBA2B6A3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C1C"/>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C1C"/>
    <w:pPr>
      <w:spacing w:after="0" w:line="240" w:lineRule="auto"/>
    </w:pPr>
    <w:rPr>
      <w:rFonts w:eastAsiaTheme="minorEastAsia"/>
      <w:lang w:eastAsia="en-GB"/>
    </w:rPr>
  </w:style>
  <w:style w:type="paragraph" w:styleId="Header">
    <w:name w:val="header"/>
    <w:basedOn w:val="Normal"/>
    <w:link w:val="HeaderChar"/>
    <w:uiPriority w:val="99"/>
    <w:unhideWhenUsed/>
    <w:rsid w:val="00D34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97A"/>
    <w:rPr>
      <w:rFonts w:eastAsiaTheme="minorEastAsia"/>
      <w:lang w:eastAsia="en-GB"/>
    </w:rPr>
  </w:style>
  <w:style w:type="paragraph" w:styleId="Footer">
    <w:name w:val="footer"/>
    <w:basedOn w:val="Normal"/>
    <w:link w:val="FooterChar"/>
    <w:uiPriority w:val="99"/>
    <w:unhideWhenUsed/>
    <w:rsid w:val="00D34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97A"/>
    <w:rPr>
      <w:rFonts w:eastAsiaTheme="minorEastAsia"/>
      <w:lang w:eastAsia="en-GB"/>
    </w:rPr>
  </w:style>
  <w:style w:type="table" w:styleId="TableGrid">
    <w:name w:val="Table Grid"/>
    <w:basedOn w:val="TableNormal"/>
    <w:uiPriority w:val="39"/>
    <w:rsid w:val="00C34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C4A43CD626104899C3BF2A5515E5A9" ma:contentTypeVersion="11" ma:contentTypeDescription="Create a new document." ma:contentTypeScope="" ma:versionID="ed95812a2236463e1ab58854f45ac486">
  <xsd:schema xmlns:xsd="http://www.w3.org/2001/XMLSchema" xmlns:xs="http://www.w3.org/2001/XMLSchema" xmlns:p="http://schemas.microsoft.com/office/2006/metadata/properties" xmlns:ns2="b64c5461-fcb2-4c93-847c-ff45ee20b53b" xmlns:ns3="ae6ebd38-8e26-418c-87c0-0cdf3ab67fb2" targetNamespace="http://schemas.microsoft.com/office/2006/metadata/properties" ma:root="true" ma:fieldsID="6f39a64549e533dd6fd2da995511286c" ns2:_="" ns3:_="">
    <xsd:import namespace="b64c5461-fcb2-4c93-847c-ff45ee20b53b"/>
    <xsd:import namespace="ae6ebd38-8e26-418c-87c0-0cdf3ab67f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c5461-fcb2-4c93-847c-ff45ee20b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0e682ec-7213-42eb-86a2-a9804fff25f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6ebd38-8e26-418c-87c0-0cdf3ab67fb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0ee1315-dd86-4d05-bb97-9a7fe0b0fe24}" ma:internalName="TaxCatchAll" ma:showField="CatchAllData" ma:web="ae6ebd38-8e26-418c-87c0-0cdf3ab67f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4c5461-fcb2-4c93-847c-ff45ee20b53b">
      <Terms xmlns="http://schemas.microsoft.com/office/infopath/2007/PartnerControls"/>
    </lcf76f155ced4ddcb4097134ff3c332f>
    <TaxCatchAll xmlns="ae6ebd38-8e26-418c-87c0-0cdf3ab67fb2" xsi:nil="true"/>
  </documentManagement>
</p:properties>
</file>

<file path=customXml/itemProps1.xml><?xml version="1.0" encoding="utf-8"?>
<ds:datastoreItem xmlns:ds="http://schemas.openxmlformats.org/officeDocument/2006/customXml" ds:itemID="{36DEE89E-B9A2-49DD-A167-332C85567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c5461-fcb2-4c93-847c-ff45ee20b53b"/>
    <ds:schemaRef ds:uri="ae6ebd38-8e26-418c-87c0-0cdf3ab67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DA91C-88FC-47A8-9A63-FCD0B6C8CFA2}">
  <ds:schemaRefs>
    <ds:schemaRef ds:uri="http://schemas.microsoft.com/sharepoint/v3/contenttype/forms"/>
  </ds:schemaRefs>
</ds:datastoreItem>
</file>

<file path=customXml/itemProps3.xml><?xml version="1.0" encoding="utf-8"?>
<ds:datastoreItem xmlns:ds="http://schemas.openxmlformats.org/officeDocument/2006/customXml" ds:itemID="{9FD8A8D7-4CC2-4DEB-89C8-0E5F71B218E6}">
  <ds:schemaRefs>
    <ds:schemaRef ds:uri="http://schemas.microsoft.com/office/2006/metadata/properties"/>
    <ds:schemaRef ds:uri="http://schemas.microsoft.com/office/infopath/2007/PartnerControls"/>
    <ds:schemaRef ds:uri="b64c5461-fcb2-4c93-847c-ff45ee20b53b"/>
    <ds:schemaRef ds:uri="ae6ebd38-8e26-418c-87c0-0cdf3ab67fb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Katie Erskine</cp:lastModifiedBy>
  <cp:revision>5</cp:revision>
  <dcterms:created xsi:type="dcterms:W3CDTF">2023-08-14T09:43:00Z</dcterms:created>
  <dcterms:modified xsi:type="dcterms:W3CDTF">2023-08-28T12:31:00Z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0x010100D6C4A43CD626104899C3BF2A5515E5A9</vt:lpwstr>
  </property>
</Properties>
</file>